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BD82" w14:textId="77777777" w:rsidR="00B87695" w:rsidRPr="005E37E4" w:rsidRDefault="00BE1FD4" w:rsidP="00B87695">
      <w:pPr>
        <w:jc w:val="center"/>
        <w:rPr>
          <w:rFonts w:ascii="Arial" w:hAnsi="Arial" w:cs="Arial"/>
          <w:b/>
          <w:sz w:val="32"/>
          <w:szCs w:val="32"/>
        </w:rPr>
      </w:pPr>
      <w:r w:rsidRPr="005E37E4">
        <w:rPr>
          <w:rFonts w:ascii="Arial" w:hAnsi="Arial" w:cs="Arial"/>
          <w:b/>
          <w:sz w:val="32"/>
          <w:szCs w:val="32"/>
        </w:rPr>
        <w:t>DECISION</w:t>
      </w:r>
      <w:r w:rsidR="00E270E5">
        <w:rPr>
          <w:rFonts w:ascii="Arial" w:hAnsi="Arial" w:cs="Arial"/>
          <w:b/>
          <w:sz w:val="32"/>
          <w:szCs w:val="32"/>
        </w:rPr>
        <w:t>S</w:t>
      </w:r>
      <w:r w:rsidR="00A12928">
        <w:rPr>
          <w:rFonts w:ascii="Arial" w:hAnsi="Arial" w:cs="Arial"/>
          <w:b/>
          <w:sz w:val="32"/>
          <w:szCs w:val="32"/>
        </w:rPr>
        <w:t xml:space="preserve"> </w:t>
      </w:r>
      <w:r w:rsidR="000173BF">
        <w:rPr>
          <w:rFonts w:ascii="Arial" w:hAnsi="Arial" w:cs="Arial"/>
          <w:b/>
          <w:sz w:val="32"/>
          <w:szCs w:val="32"/>
        </w:rPr>
        <w:t>DELEGATED TO OFFICERS</w:t>
      </w:r>
      <w:r w:rsidR="00A12928">
        <w:rPr>
          <w:rFonts w:ascii="Arial" w:hAnsi="Arial" w:cs="Arial"/>
          <w:b/>
          <w:sz w:val="32"/>
          <w:szCs w:val="32"/>
        </w:rPr>
        <w:t xml:space="preserve"> </w:t>
      </w:r>
    </w:p>
    <w:p w14:paraId="2F91AB40" w14:textId="77777777" w:rsidR="006F6326" w:rsidRDefault="006F6326" w:rsidP="008A22C6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6F6326" w14:paraId="5AE3A2F7" w14:textId="77777777" w:rsidTr="747A6B84">
        <w:tc>
          <w:tcPr>
            <w:tcW w:w="4962" w:type="dxa"/>
          </w:tcPr>
          <w:p w14:paraId="02638CA5" w14:textId="77777777" w:rsidR="003B1236" w:rsidRDefault="00854133" w:rsidP="00DB01D4">
            <w:pPr>
              <w:spacing w:before="120" w:after="120"/>
            </w:pPr>
            <w:r>
              <w:rPr>
                <w:rFonts w:ascii="Arial" w:hAnsi="Arial" w:cs="Arial"/>
                <w:b/>
              </w:rPr>
              <w:t>D</w:t>
            </w:r>
            <w:r w:rsidR="006F6326" w:rsidRPr="00BE1FD4">
              <w:rPr>
                <w:rFonts w:ascii="Arial" w:hAnsi="Arial" w:cs="Arial"/>
                <w:b/>
              </w:rPr>
              <w:t>ecision</w:t>
            </w:r>
            <w:r>
              <w:rPr>
                <w:rFonts w:ascii="Arial" w:hAnsi="Arial" w:cs="Arial"/>
                <w:b/>
              </w:rPr>
              <w:t xml:space="preserve"> title</w:t>
            </w:r>
            <w:r w:rsidR="00B87695">
              <w:rPr>
                <w:rFonts w:ascii="Arial" w:hAnsi="Arial" w:cs="Arial"/>
                <w:b/>
              </w:rPr>
              <w:t>:</w:t>
            </w:r>
            <w:r w:rsidR="005E37E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62" w:type="dxa"/>
          </w:tcPr>
          <w:p w14:paraId="401759FA" w14:textId="326D2C41" w:rsidR="00063533" w:rsidRPr="00A96C08" w:rsidRDefault="00841EDE" w:rsidP="747A6B84">
            <w:pPr>
              <w:spacing w:before="120" w:after="120" w:line="259" w:lineRule="auto"/>
              <w:rPr>
                <w:rStyle w:val="normaltextrun"/>
                <w:rFonts w:ascii="Arial" w:eastAsia="Arial" w:hAnsi="Arial" w:cs="Arial"/>
                <w:color w:val="000000" w:themeColor="text1"/>
              </w:rPr>
            </w:pPr>
            <w:r w:rsidRPr="747A6B84">
              <w:rPr>
                <w:rFonts w:ascii="Arial" w:eastAsia="Arial" w:hAnsi="Arial" w:cs="Arial"/>
              </w:rPr>
              <w:t>Feasibility b</w:t>
            </w:r>
            <w:r w:rsidR="00287F59" w:rsidRPr="747A6B84">
              <w:rPr>
                <w:rFonts w:ascii="Arial" w:eastAsia="Arial" w:hAnsi="Arial" w:cs="Arial"/>
              </w:rPr>
              <w:t>udget a</w:t>
            </w:r>
            <w:r w:rsidR="00817FA0" w:rsidRPr="747A6B84">
              <w:rPr>
                <w:rFonts w:ascii="Arial" w:eastAsia="Arial" w:hAnsi="Arial" w:cs="Arial"/>
              </w:rPr>
              <w:t xml:space="preserve">pproval </w:t>
            </w:r>
            <w:r w:rsidR="007302F3">
              <w:rPr>
                <w:rFonts w:ascii="Arial" w:eastAsia="Arial" w:hAnsi="Arial" w:cs="Arial"/>
              </w:rPr>
              <w:t>for</w:t>
            </w:r>
            <w:r w:rsidR="005C1DA1" w:rsidRPr="747A6B84">
              <w:rPr>
                <w:rFonts w:ascii="Arial" w:eastAsia="Arial" w:hAnsi="Arial" w:cs="Arial"/>
              </w:rPr>
              <w:t xml:space="preserve"> </w:t>
            </w:r>
            <w:r w:rsidR="007302F3">
              <w:rPr>
                <w:rStyle w:val="normaltextrun"/>
                <w:rFonts w:ascii="Arial" w:eastAsia="Arial" w:hAnsi="Arial" w:cs="Arial"/>
                <w:color w:val="000000" w:themeColor="text1"/>
              </w:rPr>
              <w:t>r</w:t>
            </w:r>
            <w:r w:rsidR="334EE930"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>e-</w:t>
            </w:r>
            <w:r w:rsidR="007302F3">
              <w:rPr>
                <w:rStyle w:val="normaltextrun"/>
                <w:rFonts w:ascii="Arial" w:eastAsia="Arial" w:hAnsi="Arial" w:cs="Arial"/>
                <w:color w:val="000000" w:themeColor="text1"/>
              </w:rPr>
              <w:t>r</w:t>
            </w:r>
            <w:r w:rsidR="334EE930"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oofing and </w:t>
            </w:r>
            <w:r w:rsidR="007302F3">
              <w:rPr>
                <w:rStyle w:val="normaltextrun"/>
                <w:rFonts w:ascii="Arial" w:eastAsia="Arial" w:hAnsi="Arial" w:cs="Arial"/>
                <w:color w:val="000000" w:themeColor="text1"/>
              </w:rPr>
              <w:t>r</w:t>
            </w:r>
            <w:r w:rsidR="334EE930"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>efurbishment</w:t>
            </w:r>
            <w:r w:rsidR="007302F3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to the external envelope of </w:t>
            </w:r>
            <w:r w:rsidR="007557FB"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>Oxford Town Hall</w:t>
            </w:r>
            <w:r w:rsidR="007302F3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(</w:t>
            </w:r>
            <w:r w:rsidR="54146266"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>RIBA Stage 1</w:t>
            </w:r>
            <w:r w:rsidR="007302F3">
              <w:rPr>
                <w:rStyle w:val="normaltextrun"/>
                <w:rFonts w:ascii="Arial" w:eastAsia="Arial" w:hAnsi="Arial" w:cs="Arial"/>
                <w:color w:val="000000" w:themeColor="text1"/>
              </w:rPr>
              <w:t>)</w:t>
            </w:r>
            <w:r w:rsidR="54146266"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6F6326" w14:paraId="340C3509" w14:textId="77777777" w:rsidTr="747A6B84">
        <w:tc>
          <w:tcPr>
            <w:tcW w:w="4962" w:type="dxa"/>
          </w:tcPr>
          <w:p w14:paraId="69EFB1B9" w14:textId="77777777" w:rsidR="006F6326" w:rsidRPr="00854133" w:rsidRDefault="00854133" w:rsidP="003B1236">
            <w:pPr>
              <w:spacing w:before="120" w:after="120"/>
              <w:rPr>
                <w:rFonts w:ascii="Arial" w:hAnsi="Arial" w:cs="Arial"/>
                <w:b/>
              </w:rPr>
            </w:pPr>
            <w:r w:rsidRPr="00854133">
              <w:rPr>
                <w:rFonts w:ascii="Arial" w:hAnsi="Arial" w:cs="Arial"/>
                <w:b/>
              </w:rPr>
              <w:t>Decision date:</w:t>
            </w:r>
          </w:p>
        </w:tc>
        <w:tc>
          <w:tcPr>
            <w:tcW w:w="4962" w:type="dxa"/>
          </w:tcPr>
          <w:p w14:paraId="2B81F7CD" w14:textId="1ED6F0D2" w:rsidR="00263039" w:rsidRPr="00A96C08" w:rsidRDefault="007302F3" w:rsidP="23C581AF">
            <w:pPr>
              <w:spacing w:line="259" w:lineRule="auto"/>
            </w:pPr>
            <w:r>
              <w:rPr>
                <w:rFonts w:ascii="Arial" w:hAnsi="Arial" w:cs="Arial"/>
              </w:rPr>
              <w:t xml:space="preserve">16 September </w:t>
            </w:r>
            <w:r w:rsidR="3C8B6E79" w:rsidRPr="747A6B84">
              <w:rPr>
                <w:rFonts w:ascii="Arial" w:hAnsi="Arial" w:cs="Arial"/>
              </w:rPr>
              <w:t>2024</w:t>
            </w:r>
          </w:p>
        </w:tc>
      </w:tr>
      <w:tr w:rsidR="00854133" w14:paraId="50799A61" w14:textId="77777777" w:rsidTr="747A6B84">
        <w:tc>
          <w:tcPr>
            <w:tcW w:w="4962" w:type="dxa"/>
          </w:tcPr>
          <w:p w14:paraId="535B71A3" w14:textId="5A7EE8A2" w:rsidR="00854133" w:rsidRPr="00854133" w:rsidRDefault="00854133" w:rsidP="002611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Source of delegation: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2" w:type="dxa"/>
          </w:tcPr>
          <w:p w14:paraId="4C446BE3" w14:textId="77777777" w:rsidR="007302F3" w:rsidRPr="00E20A54" w:rsidRDefault="007302F3" w:rsidP="007302F3">
            <w:bookmarkStart w:id="0" w:name="_Hlk177479431"/>
            <w:r w:rsidRPr="1FBC6FD0">
              <w:rPr>
                <w:rFonts w:ascii="Arial" w:eastAsia="Arial" w:hAnsi="Arial" w:cs="Arial"/>
                <w:color w:val="000000" w:themeColor="text1"/>
              </w:rPr>
              <w:t>This decision was delegated to officers under Part 4.4 of the Council’s Constitution: all executive functions except those in Part 4.5, 4.6 and 4.7 are delegated to the officers in the senior management structure.</w:t>
            </w:r>
          </w:p>
          <w:bookmarkEnd w:id="0"/>
          <w:p w14:paraId="7FEA0974" w14:textId="266C2D59" w:rsidR="009547FD" w:rsidRPr="00E20A54" w:rsidRDefault="009547FD" w:rsidP="004A049B">
            <w:pPr>
              <w:rPr>
                <w:rFonts w:ascii="Arial" w:hAnsi="Arial" w:cs="Arial"/>
              </w:rPr>
            </w:pPr>
          </w:p>
        </w:tc>
      </w:tr>
      <w:tr w:rsidR="00B87695" w14:paraId="7F20B462" w14:textId="77777777" w:rsidTr="747A6B84">
        <w:tc>
          <w:tcPr>
            <w:tcW w:w="4962" w:type="dxa"/>
          </w:tcPr>
          <w:p w14:paraId="64246329" w14:textId="51AF7B6C" w:rsidR="003B1236" w:rsidRPr="00B87695" w:rsidRDefault="00854133" w:rsidP="00C678ED">
            <w:pPr>
              <w:spacing w:before="120" w:after="120"/>
              <w:rPr>
                <w:rFonts w:ascii="Arial" w:hAnsi="Arial" w:cs="Arial"/>
                <w:b/>
              </w:rPr>
            </w:pPr>
            <w:r w:rsidRPr="00BE1FD4">
              <w:rPr>
                <w:rFonts w:ascii="Arial" w:hAnsi="Arial" w:cs="Arial"/>
                <w:b/>
              </w:rPr>
              <w:t>What decision was made?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62" w:type="dxa"/>
          </w:tcPr>
          <w:p w14:paraId="609522A7" w14:textId="3C6B1CF0" w:rsidR="7125A640" w:rsidRDefault="1E09B98E" w:rsidP="007302F3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50" w:hanging="364"/>
            </w:pPr>
            <w:bookmarkStart w:id="1" w:name="_Hlk177479470"/>
            <w:r w:rsidRPr="007302F3">
              <w:rPr>
                <w:rFonts w:ascii="Arial" w:eastAsia="Arial" w:hAnsi="Arial" w:cs="Arial"/>
                <w:color w:val="000000" w:themeColor="text1"/>
              </w:rPr>
              <w:t xml:space="preserve">To initiate a feasibility review </w:t>
            </w:r>
            <w:r w:rsidR="564878CB" w:rsidRPr="007302F3">
              <w:rPr>
                <w:rFonts w:ascii="Arial" w:eastAsia="Arial" w:hAnsi="Arial" w:cs="Arial"/>
                <w:color w:val="000000" w:themeColor="text1"/>
              </w:rPr>
              <w:t xml:space="preserve">for </w:t>
            </w:r>
            <w:r w:rsidR="24663709" w:rsidRPr="007302F3">
              <w:rPr>
                <w:rFonts w:ascii="Arial" w:eastAsia="Arial" w:hAnsi="Arial" w:cs="Arial"/>
                <w:color w:val="000000" w:themeColor="text1"/>
              </w:rPr>
              <w:t xml:space="preserve">Oxford Town Hall </w:t>
            </w:r>
            <w:r w:rsidR="6C46FD3F" w:rsidRPr="007302F3">
              <w:rPr>
                <w:rFonts w:ascii="Arial" w:eastAsia="Arial" w:hAnsi="Arial" w:cs="Arial"/>
                <w:color w:val="000000" w:themeColor="text1"/>
              </w:rPr>
              <w:t>to enable</w:t>
            </w:r>
            <w:r w:rsidR="564878CB" w:rsidRPr="007302F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5C6A4EAD" w:rsidRPr="007302F3">
              <w:rPr>
                <w:rFonts w:ascii="Arial" w:eastAsia="Arial" w:hAnsi="Arial" w:cs="Arial"/>
                <w:color w:val="000000" w:themeColor="text1"/>
              </w:rPr>
              <w:t>r</w:t>
            </w:r>
            <w:r w:rsidR="564878CB" w:rsidRPr="007302F3">
              <w:rPr>
                <w:rStyle w:val="normaltextrun"/>
                <w:rFonts w:ascii="Arial" w:eastAsia="Arial" w:hAnsi="Arial" w:cs="Arial"/>
                <w:color w:val="000000" w:themeColor="text1"/>
              </w:rPr>
              <w:t>e-</w:t>
            </w:r>
            <w:r w:rsidR="18E2AA9C" w:rsidRPr="007302F3">
              <w:rPr>
                <w:rStyle w:val="normaltextrun"/>
                <w:rFonts w:ascii="Arial" w:eastAsia="Arial" w:hAnsi="Arial" w:cs="Arial"/>
                <w:color w:val="000000" w:themeColor="text1"/>
              </w:rPr>
              <w:t>r</w:t>
            </w:r>
            <w:r w:rsidR="564878CB" w:rsidRPr="007302F3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oofing and </w:t>
            </w:r>
            <w:r w:rsidR="6347AD1E" w:rsidRPr="007302F3">
              <w:rPr>
                <w:rStyle w:val="normaltextrun"/>
                <w:rFonts w:ascii="Arial" w:eastAsia="Arial" w:hAnsi="Arial" w:cs="Arial"/>
                <w:color w:val="000000" w:themeColor="text1"/>
              </w:rPr>
              <w:t>r</w:t>
            </w:r>
            <w:r w:rsidR="564878CB" w:rsidRPr="007302F3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efurbishment </w:t>
            </w:r>
            <w:r w:rsidR="3C1C4E12" w:rsidRPr="007302F3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of the </w:t>
            </w:r>
            <w:r w:rsidR="1ED3ABC2" w:rsidRPr="007302F3">
              <w:rPr>
                <w:rStyle w:val="normaltextrun"/>
                <w:rFonts w:ascii="Arial" w:eastAsia="Arial" w:hAnsi="Arial" w:cs="Arial"/>
                <w:color w:val="000000" w:themeColor="text1"/>
              </w:rPr>
              <w:t>e</w:t>
            </w:r>
            <w:r w:rsidR="564878CB" w:rsidRPr="007302F3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xternal </w:t>
            </w:r>
            <w:r w:rsidR="0E733E21" w:rsidRPr="007302F3">
              <w:rPr>
                <w:rStyle w:val="normaltextrun"/>
                <w:rFonts w:ascii="Arial" w:eastAsia="Arial" w:hAnsi="Arial" w:cs="Arial"/>
                <w:color w:val="000000" w:themeColor="text1"/>
              </w:rPr>
              <w:t>e</w:t>
            </w:r>
            <w:r w:rsidR="564878CB" w:rsidRPr="007302F3">
              <w:rPr>
                <w:rStyle w:val="normaltextrun"/>
                <w:rFonts w:ascii="Arial" w:eastAsia="Arial" w:hAnsi="Arial" w:cs="Arial"/>
                <w:color w:val="000000" w:themeColor="text1"/>
              </w:rPr>
              <w:t>nvelope</w:t>
            </w:r>
            <w:r w:rsidR="4CF50187" w:rsidRPr="007302F3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of the building</w:t>
            </w:r>
            <w:r w:rsidR="5075BA75" w:rsidRPr="007302F3">
              <w:rPr>
                <w:rStyle w:val="normaltextrun"/>
                <w:rFonts w:ascii="Arial" w:eastAsia="Arial" w:hAnsi="Arial" w:cs="Arial"/>
                <w:color w:val="000000" w:themeColor="text1"/>
              </w:rPr>
              <w:t>.</w:t>
            </w:r>
          </w:p>
          <w:p w14:paraId="4824FD52" w14:textId="3B8426E4" w:rsidR="747A6B84" w:rsidRDefault="747A6B84" w:rsidP="007302F3">
            <w:pPr>
              <w:spacing w:line="259" w:lineRule="auto"/>
              <w:ind w:left="350" w:hanging="364"/>
              <w:rPr>
                <w:rStyle w:val="normaltextrun"/>
                <w:rFonts w:ascii="Arial" w:eastAsia="Arial" w:hAnsi="Arial" w:cs="Arial"/>
                <w:color w:val="000000" w:themeColor="text1"/>
              </w:rPr>
            </w:pPr>
          </w:p>
          <w:p w14:paraId="36BBB8F6" w14:textId="7441E678" w:rsidR="16755EB6" w:rsidRPr="007302F3" w:rsidRDefault="5221BD7A" w:rsidP="007302F3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50" w:hanging="364"/>
              <w:rPr>
                <w:rFonts w:ascii="Arial" w:eastAsia="Arial" w:hAnsi="Arial" w:cs="Arial"/>
                <w:color w:val="000000" w:themeColor="text1"/>
              </w:rPr>
            </w:pPr>
            <w:r w:rsidRPr="007302F3">
              <w:rPr>
                <w:rFonts w:ascii="Arial" w:eastAsia="Arial" w:hAnsi="Arial" w:cs="Arial"/>
                <w:color w:val="000000" w:themeColor="text1"/>
              </w:rPr>
              <w:t xml:space="preserve">To approve a feasibility budget of </w:t>
            </w:r>
            <w:r w:rsidRPr="007302F3">
              <w:rPr>
                <w:rStyle w:val="normaltextrun"/>
                <w:rFonts w:ascii="Arial" w:eastAsia="Arial" w:hAnsi="Arial" w:cs="Arial"/>
                <w:color w:val="000000" w:themeColor="text1"/>
              </w:rPr>
              <w:t>£97,520</w:t>
            </w:r>
            <w:r w:rsidRPr="007302F3">
              <w:rPr>
                <w:rFonts w:ascii="Arial" w:eastAsia="Arial" w:hAnsi="Arial" w:cs="Arial"/>
                <w:color w:val="000000" w:themeColor="text1"/>
              </w:rPr>
              <w:t xml:space="preserve"> to be funded from the capital budget that the Property Services Manager has assigned for this project</w:t>
            </w:r>
            <w:r w:rsidR="007302F3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7DD42C6A" w14:textId="4DD736E6" w:rsidR="747A6B84" w:rsidRDefault="747A6B84" w:rsidP="747A6B84">
            <w:pPr>
              <w:spacing w:line="259" w:lineRule="auto"/>
              <w:rPr>
                <w:rStyle w:val="normaltextrun"/>
                <w:rFonts w:ascii="Arial" w:eastAsia="Arial" w:hAnsi="Arial" w:cs="Arial"/>
                <w:color w:val="000000" w:themeColor="text1"/>
              </w:rPr>
            </w:pPr>
          </w:p>
          <w:p w14:paraId="6F74962C" w14:textId="160CBF0F" w:rsidR="35562081" w:rsidRDefault="35562081" w:rsidP="747A6B84">
            <w:pPr>
              <w:spacing w:line="259" w:lineRule="auto"/>
              <w:rPr>
                <w:rFonts w:ascii="Arial" w:eastAsia="Arial" w:hAnsi="Arial" w:cs="Arial"/>
              </w:rPr>
            </w:pPr>
            <w:r w:rsidRPr="747A6B84">
              <w:rPr>
                <w:rFonts w:ascii="Arial" w:eastAsia="Arial" w:hAnsi="Arial" w:cs="Arial"/>
                <w:color w:val="000000" w:themeColor="text1"/>
              </w:rPr>
              <w:t>The review will include the appointment of a consultant to undertake RIBA Stage 1 (feasibility study, project brief, project programme and project budgeting).</w:t>
            </w:r>
            <w:bookmarkEnd w:id="1"/>
          </w:p>
          <w:p w14:paraId="542A8AEE" w14:textId="06276380" w:rsidR="00DE6CBB" w:rsidRPr="00123D61" w:rsidRDefault="00DE6CBB" w:rsidP="2C890A03">
            <w:pPr>
              <w:rPr>
                <w:rStyle w:val="normaltextrun"/>
                <w:rFonts w:ascii="Arial" w:hAnsi="Arial" w:cs="Arial"/>
              </w:rPr>
            </w:pPr>
          </w:p>
        </w:tc>
      </w:tr>
      <w:tr w:rsidR="00373F5D" w14:paraId="6D4448F7" w14:textId="77777777" w:rsidTr="747A6B84">
        <w:tc>
          <w:tcPr>
            <w:tcW w:w="4962" w:type="dxa"/>
          </w:tcPr>
          <w:p w14:paraId="24B51155" w14:textId="020A50C2" w:rsidR="00373F5D" w:rsidRPr="00373F5D" w:rsidRDefault="00373F5D" w:rsidP="00C678E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Purpose:</w:t>
            </w:r>
          </w:p>
        </w:tc>
        <w:tc>
          <w:tcPr>
            <w:tcW w:w="4962" w:type="dxa"/>
          </w:tcPr>
          <w:p w14:paraId="066A6C55" w14:textId="7ED389DF" w:rsidR="00373F5D" w:rsidRPr="00A96C08" w:rsidRDefault="7BAD5284" w:rsidP="1FBC6FD0">
            <w:pPr>
              <w:spacing w:line="259" w:lineRule="auto"/>
              <w:rPr>
                <w:rFonts w:ascii="Arial" w:eastAsia="Arial" w:hAnsi="Arial" w:cs="Arial"/>
              </w:rPr>
            </w:pPr>
            <w:bookmarkStart w:id="2" w:name="_Hlk177479609"/>
            <w:r w:rsidRPr="747A6B84">
              <w:rPr>
                <w:rFonts w:ascii="Arial" w:eastAsia="Arial" w:hAnsi="Arial" w:cs="Arial"/>
                <w:color w:val="000000" w:themeColor="text1"/>
              </w:rPr>
              <w:t>The decision addresses critical capital repairs</w:t>
            </w:r>
            <w:r w:rsidR="7FDF88FB" w:rsidRPr="747A6B84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747A6B84">
              <w:rPr>
                <w:rFonts w:ascii="Arial" w:eastAsia="Arial" w:hAnsi="Arial" w:cs="Arial"/>
                <w:color w:val="000000" w:themeColor="text1"/>
              </w:rPr>
              <w:t>heritage preservation</w:t>
            </w:r>
            <w:r w:rsidR="6C3F8B79" w:rsidRPr="747A6B84">
              <w:rPr>
                <w:rFonts w:ascii="Arial" w:eastAsia="Arial" w:hAnsi="Arial" w:cs="Arial"/>
                <w:color w:val="000000" w:themeColor="text1"/>
              </w:rPr>
              <w:t xml:space="preserve"> and sustainability</w:t>
            </w:r>
            <w:r w:rsidRPr="747A6B84">
              <w:rPr>
                <w:rFonts w:ascii="Arial" w:eastAsia="Arial" w:hAnsi="Arial" w:cs="Arial"/>
                <w:color w:val="000000" w:themeColor="text1"/>
              </w:rPr>
              <w:t>, facilitated by the refurbishment.</w:t>
            </w:r>
            <w:bookmarkEnd w:id="2"/>
          </w:p>
          <w:p w14:paraId="5166BBED" w14:textId="35FD0A7D" w:rsidR="00373F5D" w:rsidRPr="00A96C08" w:rsidRDefault="00373F5D" w:rsidP="6AA63DA1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DC2E8D" w14:paraId="4FA4817C" w14:textId="77777777" w:rsidTr="747A6B84">
        <w:tc>
          <w:tcPr>
            <w:tcW w:w="4962" w:type="dxa"/>
          </w:tcPr>
          <w:p w14:paraId="6FB00BB6" w14:textId="60C8DFB1" w:rsidR="00DC2E8D" w:rsidRPr="008E4629" w:rsidRDefault="008E4629" w:rsidP="00C678E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DC2E8D">
              <w:rPr>
                <w:rFonts w:ascii="Arial" w:hAnsi="Arial" w:cs="Arial"/>
                <w:b/>
              </w:rPr>
              <w:t xml:space="preserve">easons: </w:t>
            </w:r>
          </w:p>
        </w:tc>
        <w:tc>
          <w:tcPr>
            <w:tcW w:w="4962" w:type="dxa"/>
          </w:tcPr>
          <w:p w14:paraId="5CB4E05B" w14:textId="46BC7153" w:rsidR="007171DD" w:rsidRDefault="5242E892" w:rsidP="747A6B84">
            <w:pPr>
              <w:rPr>
                <w:rStyle w:val="normaltextrun"/>
                <w:rFonts w:ascii="Arial" w:eastAsia="Arial" w:hAnsi="Arial" w:cs="Arial"/>
                <w:color w:val="000000" w:themeColor="text1"/>
              </w:rPr>
            </w:pPr>
            <w:bookmarkStart w:id="3" w:name="_Hlk177479566"/>
            <w:r w:rsidRPr="747A6B84">
              <w:rPr>
                <w:rFonts w:ascii="Arial" w:eastAsia="Arial" w:hAnsi="Arial" w:cs="Arial"/>
              </w:rPr>
              <w:t>A</w:t>
            </w:r>
            <w:r w:rsidR="5C7B54F5" w:rsidRPr="747A6B84">
              <w:rPr>
                <w:rFonts w:ascii="Arial" w:eastAsia="Arial" w:hAnsi="Arial" w:cs="Arial"/>
              </w:rPr>
              <w:t xml:space="preserve"> condition surve</w:t>
            </w:r>
            <w:r w:rsidR="5A809BDC" w:rsidRPr="747A6B84">
              <w:rPr>
                <w:rFonts w:ascii="Arial" w:eastAsia="Arial" w:hAnsi="Arial" w:cs="Arial"/>
              </w:rPr>
              <w:t>y</w:t>
            </w:r>
            <w:r w:rsidR="5C7B54F5" w:rsidRPr="747A6B84">
              <w:rPr>
                <w:rFonts w:ascii="Arial" w:eastAsia="Arial" w:hAnsi="Arial" w:cs="Arial"/>
              </w:rPr>
              <w:t xml:space="preserve"> undertaken by </w:t>
            </w:r>
            <w:r w:rsidR="5C7B54F5"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>Ridge and Partners LLP in 2019</w:t>
            </w:r>
            <w:r w:rsidR="7FD74909"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</w:t>
            </w:r>
            <w:r w:rsidR="7FE10525"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>identified the roof a</w:t>
            </w:r>
            <w:r w:rsidR="7A8B71AB"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>s being in a poor state</w:t>
            </w:r>
            <w:r w:rsidR="2E7CAFB8"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of disrepair</w:t>
            </w:r>
            <w:r w:rsidR="007302F3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</w:t>
            </w:r>
            <w:r w:rsidR="007302F3" w:rsidRPr="007302F3">
              <w:rPr>
                <w:rStyle w:val="normaltextrun"/>
                <w:rFonts w:ascii="Arial" w:eastAsia="Arial" w:hAnsi="Arial" w:cs="Arial"/>
              </w:rPr>
              <w:t>and</w:t>
            </w:r>
            <w:r w:rsidR="2E7CAFB8"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in need of re-roofing.</w:t>
            </w:r>
          </w:p>
          <w:p w14:paraId="7E478A3D" w14:textId="77777777" w:rsidR="007302F3" w:rsidRPr="00A96C08" w:rsidRDefault="007302F3" w:rsidP="747A6B84">
            <w:pPr>
              <w:rPr>
                <w:rStyle w:val="normaltextrun"/>
                <w:rFonts w:ascii="Arial" w:eastAsia="Arial" w:hAnsi="Arial" w:cs="Arial"/>
                <w:color w:val="000000" w:themeColor="text1"/>
              </w:rPr>
            </w:pPr>
          </w:p>
          <w:p w14:paraId="63BF8DCE" w14:textId="443A9750" w:rsidR="007171DD" w:rsidRPr="00A96C08" w:rsidRDefault="19478B25" w:rsidP="747A6B84">
            <w:pPr>
              <w:rPr>
                <w:rStyle w:val="normaltextrun"/>
                <w:rFonts w:ascii="Arial" w:eastAsia="Arial" w:hAnsi="Arial" w:cs="Arial"/>
                <w:color w:val="000000" w:themeColor="text1"/>
              </w:rPr>
            </w:pPr>
            <w:r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>Other a</w:t>
            </w:r>
            <w:r w:rsidR="2E7CAFB8"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>reas of the external envelope</w:t>
            </w:r>
            <w:r w:rsidR="784AF40F"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</w:t>
            </w:r>
            <w:r w:rsidR="20CA43BC"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>such as rainwater goods, windows and flashings</w:t>
            </w:r>
            <w:r w:rsidR="2E7CAFB8"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were </w:t>
            </w:r>
            <w:r w:rsidR="618404F1"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also identified </w:t>
            </w:r>
            <w:r w:rsidR="40BEAB17"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>as requiring refurbishment.</w:t>
            </w:r>
          </w:p>
          <w:p w14:paraId="39826EE8" w14:textId="0C734F58" w:rsidR="007171DD" w:rsidRPr="00A96C08" w:rsidRDefault="007171DD" w:rsidP="747A6B84">
            <w:pPr>
              <w:rPr>
                <w:rStyle w:val="normaltextrun"/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</w:pPr>
          </w:p>
          <w:p w14:paraId="6FC0549B" w14:textId="4E4EACED" w:rsidR="007171DD" w:rsidRPr="00A96C08" w:rsidRDefault="1AF32D06" w:rsidP="747A6B84">
            <w:pPr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>The focus of this project will be on fixing the issues identified in in the condition survey.</w:t>
            </w:r>
          </w:p>
          <w:p w14:paraId="450F44C1" w14:textId="4D46D32A" w:rsidR="007171DD" w:rsidRPr="00A96C08" w:rsidRDefault="75A40783" w:rsidP="747A6B84">
            <w:pPr>
              <w:rPr>
                <w:rStyle w:val="normaltextrun"/>
                <w:rFonts w:ascii="Arial" w:eastAsia="Arial" w:hAnsi="Arial" w:cs="Arial"/>
                <w:color w:val="000000" w:themeColor="text1"/>
              </w:rPr>
            </w:pPr>
            <w:r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>The works will reduce future maintenance costs and increase the energy performance</w:t>
            </w:r>
            <w:r w:rsidR="436DC5A7"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and longevity</w:t>
            </w:r>
            <w:r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of the building</w:t>
            </w:r>
            <w:r w:rsidR="3CA5FB85" w:rsidRPr="747A6B84">
              <w:rPr>
                <w:rStyle w:val="normaltextrun"/>
                <w:rFonts w:ascii="Arial" w:eastAsia="Arial" w:hAnsi="Arial" w:cs="Arial"/>
                <w:color w:val="000000" w:themeColor="text1"/>
              </w:rPr>
              <w:t>.</w:t>
            </w:r>
            <w:bookmarkEnd w:id="3"/>
          </w:p>
          <w:p w14:paraId="4FBE392E" w14:textId="79F085C5" w:rsidR="007171DD" w:rsidRPr="00A96C08" w:rsidRDefault="007171DD" w:rsidP="747A6B84">
            <w:pPr>
              <w:rPr>
                <w:rStyle w:val="normaltextrun"/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</w:pPr>
          </w:p>
        </w:tc>
      </w:tr>
      <w:tr w:rsidR="00B87695" w14:paraId="1113BA51" w14:textId="77777777" w:rsidTr="747A6B84">
        <w:tc>
          <w:tcPr>
            <w:tcW w:w="4962" w:type="dxa"/>
          </w:tcPr>
          <w:p w14:paraId="750861D6" w14:textId="57497AD8" w:rsidR="00B87695" w:rsidRPr="00B87695" w:rsidRDefault="00B87695" w:rsidP="00C678ED">
            <w:pPr>
              <w:spacing w:before="120" w:after="120"/>
              <w:rPr>
                <w:rFonts w:ascii="Arial" w:hAnsi="Arial" w:cs="Arial"/>
              </w:rPr>
            </w:pPr>
            <w:r w:rsidRPr="00B87695">
              <w:rPr>
                <w:rFonts w:ascii="Arial" w:hAnsi="Arial" w:cs="Arial"/>
                <w:b/>
              </w:rPr>
              <w:lastRenderedPageBreak/>
              <w:t xml:space="preserve">Decision made by: </w:t>
            </w:r>
          </w:p>
        </w:tc>
        <w:tc>
          <w:tcPr>
            <w:tcW w:w="4962" w:type="dxa"/>
          </w:tcPr>
          <w:p w14:paraId="4ACFD6F2" w14:textId="2268F748" w:rsidR="00693A8E" w:rsidRPr="00A96C08" w:rsidRDefault="19406EC3" w:rsidP="747A6B84">
            <w:pPr>
              <w:rPr>
                <w:rFonts w:ascii="Arial" w:eastAsia="Arial" w:hAnsi="Arial" w:cs="Arial"/>
              </w:rPr>
            </w:pPr>
            <w:r w:rsidRPr="747A6B84">
              <w:rPr>
                <w:rFonts w:ascii="Arial" w:eastAsia="Arial" w:hAnsi="Arial" w:cs="Arial"/>
                <w:color w:val="000000" w:themeColor="text1"/>
              </w:rPr>
              <w:t>Jane Winfield</w:t>
            </w:r>
            <w:r w:rsidR="007302F3">
              <w:rPr>
                <w:rFonts w:ascii="Arial" w:eastAsia="Arial" w:hAnsi="Arial" w:cs="Arial"/>
                <w:color w:val="000000" w:themeColor="text1"/>
              </w:rPr>
              <w:t>, Head of Corporate Property</w:t>
            </w:r>
          </w:p>
          <w:p w14:paraId="1D52EB25" w14:textId="1C31C242" w:rsidR="00693A8E" w:rsidRPr="00A96C08" w:rsidRDefault="00693A8E" w:rsidP="747A6B84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6F6326" w14:paraId="0D9AA60B" w14:textId="77777777" w:rsidTr="747A6B84">
        <w:tc>
          <w:tcPr>
            <w:tcW w:w="4962" w:type="dxa"/>
          </w:tcPr>
          <w:p w14:paraId="3CDF8107" w14:textId="2FE35C4D" w:rsidR="006F6326" w:rsidRDefault="006F6326" w:rsidP="00E270E5">
            <w:pPr>
              <w:spacing w:before="120" w:after="120"/>
              <w:rPr>
                <w:rFonts w:ascii="Arial" w:hAnsi="Arial" w:cs="Arial"/>
              </w:rPr>
            </w:pPr>
            <w:r w:rsidRPr="00BE1FD4">
              <w:rPr>
                <w:rFonts w:ascii="Arial" w:hAnsi="Arial" w:cs="Arial"/>
                <w:b/>
              </w:rPr>
              <w:t>Other options</w:t>
            </w:r>
            <w:r w:rsidR="00C6130E">
              <w:rPr>
                <w:rFonts w:ascii="Arial" w:hAnsi="Arial" w:cs="Arial"/>
                <w:b/>
              </w:rPr>
              <w:t xml:space="preserve"> </w:t>
            </w:r>
            <w:r w:rsidRPr="00BE1FD4">
              <w:rPr>
                <w:rFonts w:ascii="Arial" w:hAnsi="Arial" w:cs="Arial"/>
                <w:b/>
              </w:rPr>
              <w:t>considered</w:t>
            </w:r>
            <w:r w:rsidR="00AC5899">
              <w:rPr>
                <w:rFonts w:ascii="Arial" w:hAnsi="Arial" w:cs="Arial"/>
                <w:b/>
              </w:rPr>
              <w:t>:</w:t>
            </w:r>
            <w:r w:rsidRPr="00BE1FD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62" w:type="dxa"/>
          </w:tcPr>
          <w:p w14:paraId="25D68207" w14:textId="5EC75A12" w:rsidR="00263039" w:rsidRDefault="64FC133F" w:rsidP="1529ED80">
            <w:pPr>
              <w:spacing w:line="259" w:lineRule="auto"/>
              <w:rPr>
                <w:rFonts w:ascii="Arial" w:hAnsi="Arial" w:cs="Arial"/>
              </w:rPr>
            </w:pPr>
            <w:bookmarkStart w:id="4" w:name="_Hlk177479654"/>
            <w:r w:rsidRPr="747A6B84">
              <w:rPr>
                <w:rFonts w:ascii="Arial" w:hAnsi="Arial" w:cs="Arial"/>
              </w:rPr>
              <w:t>The review carried out by the appointed consultant will consider all options available</w:t>
            </w:r>
            <w:r w:rsidR="04A54D49" w:rsidRPr="747A6B84">
              <w:rPr>
                <w:rFonts w:ascii="Arial" w:hAnsi="Arial" w:cs="Arial"/>
              </w:rPr>
              <w:t xml:space="preserve"> and which option would be best value to bring </w:t>
            </w:r>
            <w:r w:rsidR="41615360" w:rsidRPr="747A6B84">
              <w:rPr>
                <w:rFonts w:ascii="Arial" w:hAnsi="Arial" w:cs="Arial"/>
              </w:rPr>
              <w:t>the Oxford Town Hall roof and external envelope</w:t>
            </w:r>
            <w:r w:rsidR="04A54D49" w:rsidRPr="747A6B84">
              <w:rPr>
                <w:rFonts w:ascii="Arial" w:hAnsi="Arial" w:cs="Arial"/>
              </w:rPr>
              <w:t xml:space="preserve"> back to a good state of repair.</w:t>
            </w:r>
            <w:bookmarkEnd w:id="4"/>
          </w:p>
          <w:p w14:paraId="6565CDF2" w14:textId="4058B2F7" w:rsidR="007302F3" w:rsidRPr="00A96C08" w:rsidRDefault="007302F3" w:rsidP="1529ED80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6F6326" w14:paraId="27925ECF" w14:textId="77777777" w:rsidTr="747A6B84">
        <w:trPr>
          <w:trHeight w:val="1018"/>
        </w:trPr>
        <w:tc>
          <w:tcPr>
            <w:tcW w:w="4962" w:type="dxa"/>
          </w:tcPr>
          <w:p w14:paraId="00E0A168" w14:textId="766DEF44" w:rsidR="00C678ED" w:rsidRPr="00C678ED" w:rsidRDefault="006F6326" w:rsidP="00231385">
            <w:pPr>
              <w:spacing w:before="120"/>
              <w:rPr>
                <w:rFonts w:ascii="Arial" w:hAnsi="Arial" w:cs="Arial"/>
              </w:rPr>
            </w:pPr>
            <w:r w:rsidRPr="00335A9B">
              <w:rPr>
                <w:rFonts w:ascii="Arial" w:hAnsi="Arial" w:cs="Arial"/>
                <w:b/>
              </w:rPr>
              <w:t>Documents considered</w:t>
            </w:r>
            <w:r w:rsidR="00AC5899">
              <w:rPr>
                <w:rFonts w:ascii="Arial" w:hAnsi="Arial" w:cs="Arial"/>
                <w:b/>
              </w:rPr>
              <w:t>:</w:t>
            </w:r>
            <w:r w:rsidRPr="006F6326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4962" w:type="dxa"/>
          </w:tcPr>
          <w:p w14:paraId="18BC440A" w14:textId="000FBA62" w:rsidR="2DB96E73" w:rsidRDefault="2DB96E73" w:rsidP="6AA63DA1">
            <w:pPr>
              <w:spacing w:line="259" w:lineRule="auto"/>
              <w:rPr>
                <w:rFonts w:ascii="Arial" w:hAnsi="Arial" w:cs="Arial"/>
              </w:rPr>
            </w:pPr>
            <w:r w:rsidRPr="6AA63DA1">
              <w:rPr>
                <w:rFonts w:ascii="Arial" w:hAnsi="Arial" w:cs="Arial"/>
              </w:rPr>
              <w:t>N</w:t>
            </w:r>
            <w:r w:rsidR="007302F3">
              <w:rPr>
                <w:rFonts w:ascii="Arial" w:hAnsi="Arial" w:cs="Arial"/>
              </w:rPr>
              <w:t>one.</w:t>
            </w:r>
          </w:p>
          <w:p w14:paraId="06FCB402" w14:textId="77777777" w:rsidR="006F6326" w:rsidRPr="00A96C08" w:rsidRDefault="006F6326" w:rsidP="008A22C6">
            <w:pPr>
              <w:rPr>
                <w:rFonts w:ascii="Arial" w:hAnsi="Arial" w:cs="Arial"/>
              </w:rPr>
            </w:pPr>
          </w:p>
        </w:tc>
      </w:tr>
      <w:tr w:rsidR="006F6326" w14:paraId="13B74205" w14:textId="77777777" w:rsidTr="747A6B84">
        <w:tc>
          <w:tcPr>
            <w:tcW w:w="4962" w:type="dxa"/>
          </w:tcPr>
          <w:p w14:paraId="354BF9E0" w14:textId="72810BF5" w:rsidR="003505E0" w:rsidRDefault="003505E0" w:rsidP="00C251F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or Not Key</w:t>
            </w:r>
            <w:r w:rsidR="00AC5899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62" w:type="dxa"/>
          </w:tcPr>
          <w:p w14:paraId="3EBDD593" w14:textId="20F7247C" w:rsidR="00036ACD" w:rsidRPr="00A96C08" w:rsidRDefault="007302F3" w:rsidP="00693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key.</w:t>
            </w:r>
          </w:p>
        </w:tc>
      </w:tr>
      <w:tr w:rsidR="006F6326" w14:paraId="177B8F07" w14:textId="77777777" w:rsidTr="747A6B84">
        <w:tc>
          <w:tcPr>
            <w:tcW w:w="4962" w:type="dxa"/>
          </w:tcPr>
          <w:p w14:paraId="786C7695" w14:textId="47F02D03" w:rsidR="006F6326" w:rsidRPr="008E4629" w:rsidRDefault="006F6326" w:rsidP="003B1236">
            <w:pPr>
              <w:spacing w:before="120" w:after="120"/>
              <w:rPr>
                <w:rFonts w:ascii="Arial" w:hAnsi="Arial" w:cs="Arial"/>
              </w:rPr>
            </w:pPr>
            <w:r w:rsidRPr="006F6326">
              <w:rPr>
                <w:rFonts w:ascii="Arial" w:hAnsi="Arial" w:cs="Arial"/>
                <w:b/>
              </w:rPr>
              <w:t xml:space="preserve">Wards </w:t>
            </w:r>
            <w:r w:rsidR="002B53D4">
              <w:rPr>
                <w:rFonts w:ascii="Arial" w:hAnsi="Arial" w:cs="Arial"/>
                <w:b/>
              </w:rPr>
              <w:t xml:space="preserve">significantly </w:t>
            </w:r>
            <w:r w:rsidRPr="006F6326">
              <w:rPr>
                <w:rFonts w:ascii="Arial" w:hAnsi="Arial" w:cs="Arial"/>
                <w:b/>
              </w:rPr>
              <w:t>affected</w:t>
            </w:r>
            <w:r w:rsidR="00B87695">
              <w:rPr>
                <w:rFonts w:ascii="Arial" w:hAnsi="Arial" w:cs="Arial"/>
                <w:b/>
              </w:rPr>
              <w:t>:</w:t>
            </w:r>
            <w:r w:rsidR="008E46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2" w:type="dxa"/>
          </w:tcPr>
          <w:p w14:paraId="50F0818B" w14:textId="6BCA38C1" w:rsidR="00D83702" w:rsidRPr="00A96C08" w:rsidRDefault="007302F3" w:rsidP="747A6B84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None.</w:t>
            </w:r>
          </w:p>
          <w:p w14:paraId="5BB7065A" w14:textId="35C98D85" w:rsidR="00D83702" w:rsidRPr="00A96C08" w:rsidRDefault="00D83702" w:rsidP="747A6B84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6F6326" w14:paraId="4C174913" w14:textId="77777777" w:rsidTr="747A6B84">
        <w:tc>
          <w:tcPr>
            <w:tcW w:w="4962" w:type="dxa"/>
          </w:tcPr>
          <w:p w14:paraId="7A2ABB55" w14:textId="6EA8F862" w:rsidR="006F6326" w:rsidRPr="006F6326" w:rsidRDefault="006F6326" w:rsidP="008E4629">
            <w:pPr>
              <w:spacing w:before="120" w:after="120"/>
              <w:rPr>
                <w:rFonts w:ascii="Arial" w:hAnsi="Arial" w:cs="Arial"/>
                <w:b/>
              </w:rPr>
            </w:pPr>
            <w:r w:rsidRPr="00BE1FD4">
              <w:rPr>
                <w:rFonts w:ascii="Arial" w:hAnsi="Arial" w:cs="Arial"/>
                <w:b/>
              </w:rPr>
              <w:t xml:space="preserve">Declared conflict of </w:t>
            </w:r>
            <w:r w:rsidRPr="00B87695">
              <w:rPr>
                <w:rFonts w:ascii="Arial" w:hAnsi="Arial" w:cs="Arial"/>
                <w:b/>
              </w:rPr>
              <w:t>interest</w:t>
            </w:r>
            <w:r w:rsidR="003B1236">
              <w:rPr>
                <w:rFonts w:ascii="Arial" w:hAnsi="Arial" w:cs="Arial"/>
                <w:b/>
              </w:rPr>
              <w:t>:</w:t>
            </w:r>
            <w:r w:rsidR="00B87695" w:rsidRPr="00B8769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62" w:type="dxa"/>
          </w:tcPr>
          <w:p w14:paraId="5461AA22" w14:textId="26ED0A18" w:rsidR="00036ACD" w:rsidRDefault="00693A8E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7302F3">
              <w:rPr>
                <w:rFonts w:ascii="Arial" w:hAnsi="Arial" w:cs="Arial"/>
              </w:rPr>
              <w:t>ne.</w:t>
            </w:r>
          </w:p>
          <w:p w14:paraId="41C8B6BD" w14:textId="77777777" w:rsidR="00036ACD" w:rsidRPr="00A96C08" w:rsidRDefault="00036ACD" w:rsidP="008A22C6">
            <w:pPr>
              <w:rPr>
                <w:rFonts w:ascii="Arial" w:hAnsi="Arial" w:cs="Arial"/>
              </w:rPr>
            </w:pPr>
          </w:p>
        </w:tc>
      </w:tr>
      <w:tr w:rsidR="00B87695" w14:paraId="2D0AF649" w14:textId="77777777" w:rsidTr="747A6B84">
        <w:tc>
          <w:tcPr>
            <w:tcW w:w="4962" w:type="dxa"/>
          </w:tcPr>
          <w:p w14:paraId="345B44A1" w14:textId="77777777" w:rsidR="003505E0" w:rsidRDefault="003505E0" w:rsidP="00231385">
            <w:pPr>
              <w:spacing w:before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 xml:space="preserve">This form </w:t>
            </w:r>
            <w:r>
              <w:rPr>
                <w:rFonts w:ascii="Arial" w:hAnsi="Arial" w:cs="Arial"/>
                <w:b/>
              </w:rPr>
              <w:t xml:space="preserve">was </w:t>
            </w:r>
            <w:r w:rsidRPr="003505E0">
              <w:rPr>
                <w:rFonts w:ascii="Arial" w:hAnsi="Arial" w:cs="Arial"/>
                <w:b/>
              </w:rPr>
              <w:t xml:space="preserve">completed </w:t>
            </w:r>
            <w:r>
              <w:rPr>
                <w:rFonts w:ascii="Arial" w:hAnsi="Arial" w:cs="Arial"/>
                <w:b/>
              </w:rPr>
              <w:t>by</w:t>
            </w:r>
            <w:r w:rsidRPr="003505E0">
              <w:rPr>
                <w:rFonts w:ascii="Arial" w:hAnsi="Arial" w:cs="Arial"/>
                <w:b/>
              </w:rPr>
              <w:t>:</w:t>
            </w:r>
          </w:p>
          <w:p w14:paraId="2C64AF74" w14:textId="77777777" w:rsidR="003505E0" w:rsidRDefault="003505E0" w:rsidP="003505E0">
            <w:pPr>
              <w:spacing w:before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>Name &amp; title:</w:t>
            </w:r>
          </w:p>
          <w:p w14:paraId="2DABBC40" w14:textId="1A6E6A06" w:rsidR="003505E0" w:rsidRDefault="007171DD" w:rsidP="6AA63DA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1529ED80">
              <w:rPr>
                <w:rFonts w:ascii="Arial" w:hAnsi="Arial" w:cs="Arial"/>
                <w:b/>
                <w:bCs/>
              </w:rPr>
              <w:t xml:space="preserve">Date: </w:t>
            </w:r>
            <w:r w:rsidR="7F23F06B" w:rsidRPr="1529ED80">
              <w:rPr>
                <w:rFonts w:ascii="Arial" w:hAnsi="Arial" w:cs="Arial"/>
                <w:b/>
                <w:bCs/>
              </w:rPr>
              <w:t>06/09/2024</w:t>
            </w:r>
          </w:p>
        </w:tc>
        <w:tc>
          <w:tcPr>
            <w:tcW w:w="4962" w:type="dxa"/>
          </w:tcPr>
          <w:p w14:paraId="6154217B" w14:textId="77777777" w:rsidR="007302F3" w:rsidRDefault="60024700" w:rsidP="747A6B84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747A6B84">
              <w:rPr>
                <w:rFonts w:ascii="Arial" w:eastAsia="Arial" w:hAnsi="Arial" w:cs="Arial"/>
                <w:color w:val="000000" w:themeColor="text1"/>
              </w:rPr>
              <w:t xml:space="preserve">James </w:t>
            </w:r>
            <w:proofErr w:type="spellStart"/>
            <w:r w:rsidRPr="747A6B84">
              <w:rPr>
                <w:rFonts w:ascii="Arial" w:eastAsia="Arial" w:hAnsi="Arial" w:cs="Arial"/>
                <w:color w:val="000000" w:themeColor="text1"/>
              </w:rPr>
              <w:t>Axford</w:t>
            </w:r>
            <w:proofErr w:type="spellEnd"/>
            <w:r w:rsidRPr="747A6B8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41039EAE" w14:textId="73955CF9" w:rsidR="004A049B" w:rsidRDefault="60024700" w:rsidP="747A6B84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747A6B84">
              <w:rPr>
                <w:rFonts w:ascii="Arial" w:eastAsia="Arial" w:hAnsi="Arial" w:cs="Arial"/>
                <w:color w:val="000000" w:themeColor="text1"/>
              </w:rPr>
              <w:t>Senior Engineer</w:t>
            </w:r>
          </w:p>
          <w:p w14:paraId="441CAEDF" w14:textId="47A117D6" w:rsidR="007302F3" w:rsidRPr="00A96C08" w:rsidRDefault="007302F3" w:rsidP="747A6B84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September 2024</w:t>
            </w:r>
          </w:p>
          <w:p w14:paraId="3061A530" w14:textId="51343059" w:rsidR="004A049B" w:rsidRPr="00A96C08" w:rsidRDefault="004A049B" w:rsidP="747A6B84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18970BD0" w14:textId="77777777" w:rsidR="006F6326" w:rsidRDefault="006F6326" w:rsidP="008A22C6"/>
    <w:p w14:paraId="75ACF45D" w14:textId="77777777" w:rsidR="002611EB" w:rsidRDefault="002611EB" w:rsidP="008A22C6"/>
    <w:p w14:paraId="072790C5" w14:textId="77777777" w:rsidR="008E4629" w:rsidRDefault="00DD4885" w:rsidP="002611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</w:t>
      </w:r>
      <w:r w:rsidR="008E4629">
        <w:rPr>
          <w:rFonts w:ascii="Arial" w:hAnsi="Arial" w:cs="Arial"/>
          <w:b/>
        </w:rPr>
        <w:t xml:space="preserve"> checklist</w:t>
      </w:r>
      <w:r>
        <w:rPr>
          <w:rFonts w:ascii="Arial" w:hAnsi="Arial" w:cs="Arial"/>
          <w:b/>
        </w:rPr>
        <w:t xml:space="preserve"> </w:t>
      </w:r>
    </w:p>
    <w:p w14:paraId="2D464ED3" w14:textId="77777777" w:rsidR="00DD4885" w:rsidRDefault="00DD4885" w:rsidP="002611EB">
      <w:pPr>
        <w:rPr>
          <w:rFonts w:ascii="Arial" w:hAnsi="Arial" w:cs="Arial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3828"/>
        <w:gridCol w:w="4111"/>
        <w:gridCol w:w="1984"/>
      </w:tblGrid>
      <w:tr w:rsidR="00DD4885" w:rsidRPr="00A96C08" w14:paraId="2DF5267E" w14:textId="77777777" w:rsidTr="230B1E1B">
        <w:trPr>
          <w:trHeight w:val="516"/>
        </w:trPr>
        <w:tc>
          <w:tcPr>
            <w:tcW w:w="3828" w:type="dxa"/>
          </w:tcPr>
          <w:p w14:paraId="7D4ABE61" w14:textId="77777777" w:rsidR="00DD4885" w:rsidRPr="00CD4BC9" w:rsidRDefault="00CD4BC9" w:rsidP="00F83987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CD4BC9">
              <w:rPr>
                <w:rFonts w:ascii="Arial" w:hAnsi="Arial" w:cs="Arial"/>
                <w:b/>
                <w:i/>
              </w:rPr>
              <w:t>Approver</w:t>
            </w:r>
          </w:p>
        </w:tc>
        <w:tc>
          <w:tcPr>
            <w:tcW w:w="4111" w:type="dxa"/>
            <w:vAlign w:val="center"/>
          </w:tcPr>
          <w:p w14:paraId="377690C1" w14:textId="77777777" w:rsidR="00DD4885" w:rsidRPr="00CD4BC9" w:rsidRDefault="00DD4885" w:rsidP="00DD4885">
            <w:pPr>
              <w:rPr>
                <w:rFonts w:ascii="Arial" w:hAnsi="Arial" w:cs="Arial"/>
                <w:b/>
                <w:i/>
              </w:rPr>
            </w:pPr>
            <w:r w:rsidRPr="00CD4BC9">
              <w:rPr>
                <w:rFonts w:ascii="Arial" w:hAnsi="Arial" w:cs="Arial"/>
                <w:b/>
                <w:i/>
              </w:rPr>
              <w:t>Name and job title</w:t>
            </w:r>
          </w:p>
        </w:tc>
        <w:tc>
          <w:tcPr>
            <w:tcW w:w="1984" w:type="dxa"/>
            <w:vAlign w:val="center"/>
          </w:tcPr>
          <w:p w14:paraId="5A9C0192" w14:textId="77777777" w:rsidR="00DD4885" w:rsidRPr="00CD4BC9" w:rsidRDefault="00DD4885" w:rsidP="00DD4885">
            <w:pPr>
              <w:rPr>
                <w:rFonts w:ascii="Arial" w:hAnsi="Arial" w:cs="Arial"/>
                <w:b/>
                <w:i/>
              </w:rPr>
            </w:pPr>
            <w:r w:rsidRPr="00CD4BC9">
              <w:rPr>
                <w:rFonts w:ascii="Arial" w:hAnsi="Arial" w:cs="Arial"/>
                <w:b/>
                <w:i/>
              </w:rPr>
              <w:t xml:space="preserve">Date </w:t>
            </w:r>
          </w:p>
        </w:tc>
      </w:tr>
      <w:tr w:rsidR="00DD4885" w:rsidRPr="00A96C08" w14:paraId="532C6158" w14:textId="77777777" w:rsidTr="230B1E1B">
        <w:trPr>
          <w:trHeight w:val="516"/>
        </w:trPr>
        <w:tc>
          <w:tcPr>
            <w:tcW w:w="3828" w:type="dxa"/>
            <w:vAlign w:val="center"/>
          </w:tcPr>
          <w:p w14:paraId="30D26B31" w14:textId="2543A62A" w:rsidR="00DD4885" w:rsidRPr="00BF240D" w:rsidRDefault="007302F3" w:rsidP="00BF240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Decision Maker</w:t>
            </w:r>
          </w:p>
        </w:tc>
        <w:tc>
          <w:tcPr>
            <w:tcW w:w="4111" w:type="dxa"/>
            <w:vAlign w:val="center"/>
          </w:tcPr>
          <w:p w14:paraId="120CEE3C" w14:textId="77777777" w:rsidR="00DD4885" w:rsidRDefault="2F9B5AAC" w:rsidP="230B1E1B">
            <w:pPr>
              <w:rPr>
                <w:rFonts w:ascii="Arial" w:eastAsia="Arial" w:hAnsi="Arial" w:cs="Arial"/>
                <w:color w:val="000000" w:themeColor="text1"/>
              </w:rPr>
            </w:pPr>
            <w:r w:rsidRPr="230B1E1B">
              <w:rPr>
                <w:rFonts w:ascii="Arial" w:eastAsia="Arial" w:hAnsi="Arial" w:cs="Arial"/>
              </w:rPr>
              <w:t>Jane Winfield</w:t>
            </w:r>
            <w:r w:rsidR="007302F3">
              <w:rPr>
                <w:rFonts w:ascii="Arial" w:eastAsia="Arial" w:hAnsi="Arial" w:cs="Arial"/>
              </w:rPr>
              <w:t xml:space="preserve">, </w:t>
            </w:r>
            <w:r w:rsidRPr="230B1E1B">
              <w:rPr>
                <w:rFonts w:ascii="Arial" w:eastAsia="Arial" w:hAnsi="Arial" w:cs="Arial"/>
                <w:color w:val="000000" w:themeColor="text1"/>
              </w:rPr>
              <w:t>Head of Corporate Property</w:t>
            </w:r>
          </w:p>
          <w:p w14:paraId="13671237" w14:textId="151C221B" w:rsidR="007302F3" w:rsidRPr="00A96C08" w:rsidRDefault="007302F3" w:rsidP="230B1E1B">
            <w:pPr>
              <w:rPr>
                <w:rFonts w:ascii="Arial" w:eastAsia="Arial" w:hAnsi="Arial" w:cs="Arial"/>
              </w:rPr>
            </w:pPr>
            <w:r w:rsidRPr="00D20C79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3552306" wp14:editId="242D8662">
                  <wp:extent cx="1974850" cy="723900"/>
                  <wp:effectExtent l="0" t="0" r="6350" b="0"/>
                  <wp:docPr id="8" name="Picture 8" descr="C:\Users\jmitchell\AppData\Local\Microsoft\Windows\INetCache\Content.Outlook\JEVXX3BB\Jane's signature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mitchell\AppData\Local\Microsoft\Windows\INetCache\Content.Outlook\JEVXX3BB\Jane's signature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74329288" w14:textId="6F14BD36" w:rsidR="00DD4885" w:rsidRPr="00A96C08" w:rsidRDefault="2F9B5AAC" w:rsidP="1529ED80">
            <w:pPr>
              <w:spacing w:line="259" w:lineRule="auto"/>
            </w:pPr>
            <w:r w:rsidRPr="230B1E1B">
              <w:rPr>
                <w:rFonts w:ascii="Arial" w:eastAsia="Arial" w:hAnsi="Arial" w:cs="Arial"/>
              </w:rPr>
              <w:t>16</w:t>
            </w:r>
            <w:r w:rsidR="007302F3">
              <w:rPr>
                <w:rFonts w:ascii="Arial" w:eastAsia="Arial" w:hAnsi="Arial" w:cs="Arial"/>
              </w:rPr>
              <w:t xml:space="preserve"> September </w:t>
            </w:r>
            <w:r w:rsidRPr="230B1E1B">
              <w:rPr>
                <w:rFonts w:ascii="Arial" w:eastAsia="Arial" w:hAnsi="Arial" w:cs="Arial"/>
              </w:rPr>
              <w:t>2024</w:t>
            </w:r>
          </w:p>
        </w:tc>
      </w:tr>
    </w:tbl>
    <w:p w14:paraId="7AEAC84C" w14:textId="77777777" w:rsidR="008E4629" w:rsidRDefault="008E4629" w:rsidP="002611EB">
      <w:pPr>
        <w:rPr>
          <w:rFonts w:ascii="Arial" w:hAnsi="Arial" w:cs="Arial"/>
        </w:rPr>
      </w:pPr>
    </w:p>
    <w:p w14:paraId="6B35887F" w14:textId="411ED986" w:rsidR="005C6416" w:rsidRPr="00B15340" w:rsidRDefault="005C6416" w:rsidP="005C6416">
      <w:pPr>
        <w:rPr>
          <w:rFonts w:ascii="Arial" w:hAnsi="Arial" w:cs="Arial"/>
        </w:rPr>
      </w:pPr>
    </w:p>
    <w:sectPr w:rsidR="005C6416" w:rsidRPr="00B15340" w:rsidSect="00532DF2">
      <w:footerReference w:type="default" r:id="rId12"/>
      <w:pgSz w:w="11906" w:h="16838"/>
      <w:pgMar w:top="993" w:right="99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CF78" w14:textId="77777777" w:rsidR="00B4728F" w:rsidRDefault="00B4728F" w:rsidP="00F11FD1">
      <w:r>
        <w:separator/>
      </w:r>
    </w:p>
  </w:endnote>
  <w:endnote w:type="continuationSeparator" w:id="0">
    <w:p w14:paraId="106BA592" w14:textId="77777777" w:rsidR="00B4728F" w:rsidRDefault="00B4728F" w:rsidP="00F1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4626" w14:textId="77777777" w:rsidR="00C6130E" w:rsidRPr="00F11FD1" w:rsidRDefault="00C6130E" w:rsidP="00F11FD1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32CF" w14:textId="77777777" w:rsidR="00B4728F" w:rsidRDefault="00B4728F" w:rsidP="00F11FD1">
      <w:r>
        <w:separator/>
      </w:r>
    </w:p>
  </w:footnote>
  <w:footnote w:type="continuationSeparator" w:id="0">
    <w:p w14:paraId="125B5C42" w14:textId="77777777" w:rsidR="00B4728F" w:rsidRDefault="00B4728F" w:rsidP="00F11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B1898"/>
    <w:multiLevelType w:val="hybridMultilevel"/>
    <w:tmpl w:val="2E8CFC7C"/>
    <w:lvl w:ilvl="0" w:tplc="574ED4C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05BB8"/>
    <w:multiLevelType w:val="hybridMultilevel"/>
    <w:tmpl w:val="F9A03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15511"/>
    <w:multiLevelType w:val="hybridMultilevel"/>
    <w:tmpl w:val="3C0E5054"/>
    <w:lvl w:ilvl="0" w:tplc="FFA886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18E4"/>
    <w:multiLevelType w:val="multilevel"/>
    <w:tmpl w:val="1F00B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FA30C0"/>
    <w:multiLevelType w:val="hybridMultilevel"/>
    <w:tmpl w:val="744E6C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B6F75"/>
    <w:multiLevelType w:val="multilevel"/>
    <w:tmpl w:val="50CCF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E11320"/>
    <w:multiLevelType w:val="hybridMultilevel"/>
    <w:tmpl w:val="122C8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20A62">
      <w:start w:val="2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26FC1"/>
    <w:multiLevelType w:val="hybridMultilevel"/>
    <w:tmpl w:val="0AD4C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162184">
    <w:abstractNumId w:val="6"/>
  </w:num>
  <w:num w:numId="2" w16cid:durableId="1599437789">
    <w:abstractNumId w:val="1"/>
  </w:num>
  <w:num w:numId="3" w16cid:durableId="1028986554">
    <w:abstractNumId w:val="7"/>
  </w:num>
  <w:num w:numId="4" w16cid:durableId="1465735985">
    <w:abstractNumId w:val="2"/>
  </w:num>
  <w:num w:numId="5" w16cid:durableId="1755468703">
    <w:abstractNumId w:val="3"/>
  </w:num>
  <w:num w:numId="6" w16cid:durableId="456144611">
    <w:abstractNumId w:val="5"/>
  </w:num>
  <w:num w:numId="7" w16cid:durableId="834220608">
    <w:abstractNumId w:val="4"/>
  </w:num>
  <w:num w:numId="8" w16cid:durableId="160118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D4"/>
    <w:rsid w:val="000173BF"/>
    <w:rsid w:val="00036ACD"/>
    <w:rsid w:val="000445D4"/>
    <w:rsid w:val="0005774E"/>
    <w:rsid w:val="00063533"/>
    <w:rsid w:val="0008133A"/>
    <w:rsid w:val="000B4310"/>
    <w:rsid w:val="000F4239"/>
    <w:rsid w:val="00123D61"/>
    <w:rsid w:val="00223342"/>
    <w:rsid w:val="00230B8E"/>
    <w:rsid w:val="00231385"/>
    <w:rsid w:val="002611EB"/>
    <w:rsid w:val="00263039"/>
    <w:rsid w:val="00275760"/>
    <w:rsid w:val="002826DA"/>
    <w:rsid w:val="00287F59"/>
    <w:rsid w:val="002915FC"/>
    <w:rsid w:val="002A07C9"/>
    <w:rsid w:val="002A0C6D"/>
    <w:rsid w:val="002B53D4"/>
    <w:rsid w:val="002D6511"/>
    <w:rsid w:val="002E46A6"/>
    <w:rsid w:val="002E61DD"/>
    <w:rsid w:val="002F2CD1"/>
    <w:rsid w:val="00335A9B"/>
    <w:rsid w:val="00341CEE"/>
    <w:rsid w:val="003505E0"/>
    <w:rsid w:val="003547CD"/>
    <w:rsid w:val="00373F5D"/>
    <w:rsid w:val="003748AB"/>
    <w:rsid w:val="00377838"/>
    <w:rsid w:val="003B1236"/>
    <w:rsid w:val="004000D7"/>
    <w:rsid w:val="004011D1"/>
    <w:rsid w:val="00405321"/>
    <w:rsid w:val="00424A92"/>
    <w:rsid w:val="00469DF1"/>
    <w:rsid w:val="004A049B"/>
    <w:rsid w:val="004B1944"/>
    <w:rsid w:val="004B7C42"/>
    <w:rsid w:val="00504E43"/>
    <w:rsid w:val="00530F2D"/>
    <w:rsid w:val="00532DF2"/>
    <w:rsid w:val="00582998"/>
    <w:rsid w:val="005C1DA1"/>
    <w:rsid w:val="005C6416"/>
    <w:rsid w:val="005E37E4"/>
    <w:rsid w:val="00616F3F"/>
    <w:rsid w:val="006247C4"/>
    <w:rsid w:val="00693A8E"/>
    <w:rsid w:val="006A6023"/>
    <w:rsid w:val="006F6326"/>
    <w:rsid w:val="006F6731"/>
    <w:rsid w:val="00705715"/>
    <w:rsid w:val="007171DD"/>
    <w:rsid w:val="007302F3"/>
    <w:rsid w:val="007557FB"/>
    <w:rsid w:val="007908F4"/>
    <w:rsid w:val="0079664A"/>
    <w:rsid w:val="007D270E"/>
    <w:rsid w:val="007E6531"/>
    <w:rsid w:val="00801BEB"/>
    <w:rsid w:val="00804BF2"/>
    <w:rsid w:val="00817FA0"/>
    <w:rsid w:val="00834D72"/>
    <w:rsid w:val="008389A8"/>
    <w:rsid w:val="00841EDE"/>
    <w:rsid w:val="00844D21"/>
    <w:rsid w:val="00854133"/>
    <w:rsid w:val="008613FB"/>
    <w:rsid w:val="008676E5"/>
    <w:rsid w:val="008900A7"/>
    <w:rsid w:val="00891B19"/>
    <w:rsid w:val="008A22C6"/>
    <w:rsid w:val="008E4629"/>
    <w:rsid w:val="00913693"/>
    <w:rsid w:val="009547FD"/>
    <w:rsid w:val="00975D54"/>
    <w:rsid w:val="00986C99"/>
    <w:rsid w:val="009F048F"/>
    <w:rsid w:val="009F6401"/>
    <w:rsid w:val="00A12928"/>
    <w:rsid w:val="00A76E8D"/>
    <w:rsid w:val="00A96C08"/>
    <w:rsid w:val="00AC5899"/>
    <w:rsid w:val="00AE74A5"/>
    <w:rsid w:val="00B15340"/>
    <w:rsid w:val="00B4728F"/>
    <w:rsid w:val="00B87695"/>
    <w:rsid w:val="00B928EF"/>
    <w:rsid w:val="00BD34A2"/>
    <w:rsid w:val="00BD4490"/>
    <w:rsid w:val="00BE1FD4"/>
    <w:rsid w:val="00BF240D"/>
    <w:rsid w:val="00C07F80"/>
    <w:rsid w:val="00C251F7"/>
    <w:rsid w:val="00C6130E"/>
    <w:rsid w:val="00C678ED"/>
    <w:rsid w:val="00CB5E4F"/>
    <w:rsid w:val="00CD4BC9"/>
    <w:rsid w:val="00CE6085"/>
    <w:rsid w:val="00D33F83"/>
    <w:rsid w:val="00D543D9"/>
    <w:rsid w:val="00D83702"/>
    <w:rsid w:val="00D86B92"/>
    <w:rsid w:val="00DB01D4"/>
    <w:rsid w:val="00DC2E8D"/>
    <w:rsid w:val="00DD1A34"/>
    <w:rsid w:val="00DD4885"/>
    <w:rsid w:val="00DD51B2"/>
    <w:rsid w:val="00DE6CBB"/>
    <w:rsid w:val="00E127E3"/>
    <w:rsid w:val="00E20A54"/>
    <w:rsid w:val="00E270E5"/>
    <w:rsid w:val="00E64C7F"/>
    <w:rsid w:val="00E97F84"/>
    <w:rsid w:val="00EB36E9"/>
    <w:rsid w:val="00F04CF8"/>
    <w:rsid w:val="00F11FD1"/>
    <w:rsid w:val="00F32EFA"/>
    <w:rsid w:val="00F64579"/>
    <w:rsid w:val="00FD3A85"/>
    <w:rsid w:val="01EC0D69"/>
    <w:rsid w:val="02972559"/>
    <w:rsid w:val="02E25CB2"/>
    <w:rsid w:val="04A54D49"/>
    <w:rsid w:val="054482D3"/>
    <w:rsid w:val="0751FD09"/>
    <w:rsid w:val="075B914A"/>
    <w:rsid w:val="081DEAEB"/>
    <w:rsid w:val="08874C5E"/>
    <w:rsid w:val="0AA144C2"/>
    <w:rsid w:val="0AF2B937"/>
    <w:rsid w:val="0CE40A64"/>
    <w:rsid w:val="0E733E21"/>
    <w:rsid w:val="0EFD3D4C"/>
    <w:rsid w:val="0F6C0CD9"/>
    <w:rsid w:val="101B9ECA"/>
    <w:rsid w:val="11670093"/>
    <w:rsid w:val="123FFC78"/>
    <w:rsid w:val="14304D40"/>
    <w:rsid w:val="1486066C"/>
    <w:rsid w:val="151C22AD"/>
    <w:rsid w:val="1529ED80"/>
    <w:rsid w:val="15EACB1C"/>
    <w:rsid w:val="16755EB6"/>
    <w:rsid w:val="18E2AA9C"/>
    <w:rsid w:val="19137BAA"/>
    <w:rsid w:val="19406EC3"/>
    <w:rsid w:val="19478B25"/>
    <w:rsid w:val="1A014F65"/>
    <w:rsid w:val="1A537440"/>
    <w:rsid w:val="1ACAAAD8"/>
    <w:rsid w:val="1AEFE5C2"/>
    <w:rsid w:val="1AF32D06"/>
    <w:rsid w:val="1B6B2E08"/>
    <w:rsid w:val="1B81B13E"/>
    <w:rsid w:val="1B90B2F1"/>
    <w:rsid w:val="1C690320"/>
    <w:rsid w:val="1C9AD2D0"/>
    <w:rsid w:val="1DB20BED"/>
    <w:rsid w:val="1E09B98E"/>
    <w:rsid w:val="1ED3ABC2"/>
    <w:rsid w:val="1EF95E03"/>
    <w:rsid w:val="1F166CB0"/>
    <w:rsid w:val="1F652B0E"/>
    <w:rsid w:val="1FBC6FD0"/>
    <w:rsid w:val="20A979B1"/>
    <w:rsid w:val="20CA43BC"/>
    <w:rsid w:val="21731733"/>
    <w:rsid w:val="21B5EE32"/>
    <w:rsid w:val="223C8C46"/>
    <w:rsid w:val="22726AFD"/>
    <w:rsid w:val="230B1E1B"/>
    <w:rsid w:val="23410BAA"/>
    <w:rsid w:val="2344B2C0"/>
    <w:rsid w:val="23C3214A"/>
    <w:rsid w:val="23C581AF"/>
    <w:rsid w:val="24663709"/>
    <w:rsid w:val="24D261BE"/>
    <w:rsid w:val="24E2FAB9"/>
    <w:rsid w:val="2597356B"/>
    <w:rsid w:val="268A7207"/>
    <w:rsid w:val="26C9A6D0"/>
    <w:rsid w:val="26DCD13C"/>
    <w:rsid w:val="27B38994"/>
    <w:rsid w:val="27ECBCD0"/>
    <w:rsid w:val="28E202C8"/>
    <w:rsid w:val="28F59A87"/>
    <w:rsid w:val="29A58396"/>
    <w:rsid w:val="29F47CC3"/>
    <w:rsid w:val="29F79FFA"/>
    <w:rsid w:val="2A0F26DD"/>
    <w:rsid w:val="2A4F5DDD"/>
    <w:rsid w:val="2A7DD329"/>
    <w:rsid w:val="2B4A0B1E"/>
    <w:rsid w:val="2C2BABE7"/>
    <w:rsid w:val="2C6DF2DD"/>
    <w:rsid w:val="2C85C823"/>
    <w:rsid w:val="2C890A03"/>
    <w:rsid w:val="2DB34B16"/>
    <w:rsid w:val="2DB48A1E"/>
    <w:rsid w:val="2DB96E73"/>
    <w:rsid w:val="2E7CAFB8"/>
    <w:rsid w:val="2EC7EDE6"/>
    <w:rsid w:val="2F1D2726"/>
    <w:rsid w:val="2F4C237C"/>
    <w:rsid w:val="2F967F70"/>
    <w:rsid w:val="2F9B5AAC"/>
    <w:rsid w:val="3011DF88"/>
    <w:rsid w:val="30D4CAF0"/>
    <w:rsid w:val="334EE930"/>
    <w:rsid w:val="33A440F5"/>
    <w:rsid w:val="35562081"/>
    <w:rsid w:val="3568E14A"/>
    <w:rsid w:val="365294A7"/>
    <w:rsid w:val="365E99ED"/>
    <w:rsid w:val="367E2FC6"/>
    <w:rsid w:val="386922C4"/>
    <w:rsid w:val="38BBA723"/>
    <w:rsid w:val="392485EC"/>
    <w:rsid w:val="39F2CC47"/>
    <w:rsid w:val="3A55244C"/>
    <w:rsid w:val="3A653896"/>
    <w:rsid w:val="3A65C59F"/>
    <w:rsid w:val="3A7F6A6D"/>
    <w:rsid w:val="3B678E96"/>
    <w:rsid w:val="3C0EEE00"/>
    <w:rsid w:val="3C1C4E12"/>
    <w:rsid w:val="3C8B6E79"/>
    <w:rsid w:val="3CA5FB85"/>
    <w:rsid w:val="3DA9DCFC"/>
    <w:rsid w:val="3EA666B2"/>
    <w:rsid w:val="3EF60DA3"/>
    <w:rsid w:val="3F89DF65"/>
    <w:rsid w:val="3FD1D4A3"/>
    <w:rsid w:val="40BEAB17"/>
    <w:rsid w:val="414D6B86"/>
    <w:rsid w:val="41615360"/>
    <w:rsid w:val="416DA504"/>
    <w:rsid w:val="4204AA6C"/>
    <w:rsid w:val="421C4050"/>
    <w:rsid w:val="42D667FD"/>
    <w:rsid w:val="436DC5A7"/>
    <w:rsid w:val="4458B19C"/>
    <w:rsid w:val="4541BEDE"/>
    <w:rsid w:val="4585A914"/>
    <w:rsid w:val="48269F33"/>
    <w:rsid w:val="48A91907"/>
    <w:rsid w:val="48DFB1EF"/>
    <w:rsid w:val="49B677DF"/>
    <w:rsid w:val="4A7833BF"/>
    <w:rsid w:val="4B0AD457"/>
    <w:rsid w:val="4B1D2392"/>
    <w:rsid w:val="4B3CBD6A"/>
    <w:rsid w:val="4BA0934E"/>
    <w:rsid w:val="4C966B72"/>
    <w:rsid w:val="4CCB548E"/>
    <w:rsid w:val="4CF50187"/>
    <w:rsid w:val="4D2BF6A2"/>
    <w:rsid w:val="5075BA75"/>
    <w:rsid w:val="512BAF4F"/>
    <w:rsid w:val="5162B4E6"/>
    <w:rsid w:val="5221BD7A"/>
    <w:rsid w:val="5242E892"/>
    <w:rsid w:val="5250B510"/>
    <w:rsid w:val="534D645C"/>
    <w:rsid w:val="54146266"/>
    <w:rsid w:val="54467294"/>
    <w:rsid w:val="545B84D7"/>
    <w:rsid w:val="54B21199"/>
    <w:rsid w:val="5589AE41"/>
    <w:rsid w:val="55F75538"/>
    <w:rsid w:val="562BDD2B"/>
    <w:rsid w:val="564878CB"/>
    <w:rsid w:val="5843208D"/>
    <w:rsid w:val="58451156"/>
    <w:rsid w:val="59F85BB8"/>
    <w:rsid w:val="5A131AD3"/>
    <w:rsid w:val="5A754EF6"/>
    <w:rsid w:val="5A809BDC"/>
    <w:rsid w:val="5B69B7AA"/>
    <w:rsid w:val="5B6C40D0"/>
    <w:rsid w:val="5B85EB56"/>
    <w:rsid w:val="5BF5F25B"/>
    <w:rsid w:val="5C6A4EAD"/>
    <w:rsid w:val="5C7B54F5"/>
    <w:rsid w:val="5C9C4B12"/>
    <w:rsid w:val="5E88E540"/>
    <w:rsid w:val="5FA6DF77"/>
    <w:rsid w:val="60024700"/>
    <w:rsid w:val="602F2177"/>
    <w:rsid w:val="60A0AD79"/>
    <w:rsid w:val="6106B832"/>
    <w:rsid w:val="618404F1"/>
    <w:rsid w:val="62FA0775"/>
    <w:rsid w:val="6347AD1E"/>
    <w:rsid w:val="645C8402"/>
    <w:rsid w:val="64A2617C"/>
    <w:rsid w:val="64A72A26"/>
    <w:rsid w:val="64FC133F"/>
    <w:rsid w:val="6594ADEC"/>
    <w:rsid w:val="662D6ECC"/>
    <w:rsid w:val="679D2801"/>
    <w:rsid w:val="6962873A"/>
    <w:rsid w:val="6A0503EE"/>
    <w:rsid w:val="6A20DB35"/>
    <w:rsid w:val="6AA63DA1"/>
    <w:rsid w:val="6C3F8B79"/>
    <w:rsid w:val="6C46FD3F"/>
    <w:rsid w:val="6D31BB16"/>
    <w:rsid w:val="6D6D8043"/>
    <w:rsid w:val="6D907FC6"/>
    <w:rsid w:val="6EE4ECC5"/>
    <w:rsid w:val="6F383585"/>
    <w:rsid w:val="6F80C358"/>
    <w:rsid w:val="70815EC7"/>
    <w:rsid w:val="70C044F6"/>
    <w:rsid w:val="7125A640"/>
    <w:rsid w:val="71CB2C11"/>
    <w:rsid w:val="72110F0F"/>
    <w:rsid w:val="72B1A5BE"/>
    <w:rsid w:val="740E6B09"/>
    <w:rsid w:val="7424B5EC"/>
    <w:rsid w:val="747A6B84"/>
    <w:rsid w:val="747D954C"/>
    <w:rsid w:val="75A40783"/>
    <w:rsid w:val="75ADA7CA"/>
    <w:rsid w:val="75C0864D"/>
    <w:rsid w:val="771BBD18"/>
    <w:rsid w:val="77F37351"/>
    <w:rsid w:val="784AF40F"/>
    <w:rsid w:val="78EFCDD8"/>
    <w:rsid w:val="7A8B71AB"/>
    <w:rsid w:val="7BAD5284"/>
    <w:rsid w:val="7C1EDC98"/>
    <w:rsid w:val="7E4BD09B"/>
    <w:rsid w:val="7F23F06B"/>
    <w:rsid w:val="7FD74909"/>
    <w:rsid w:val="7FDE91E6"/>
    <w:rsid w:val="7FDF88FB"/>
    <w:rsid w:val="7FE10525"/>
    <w:rsid w:val="7FED8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AEE8B"/>
  <w15:docId w15:val="{C350AB86-6A49-4468-AB49-3C38AF4D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FD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505E0"/>
    <w:pPr>
      <w:ind w:left="720"/>
      <w:contextualSpacing/>
    </w:pPr>
  </w:style>
  <w:style w:type="paragraph" w:customStyle="1" w:styleId="Default">
    <w:name w:val="Default"/>
    <w:rsid w:val="00891B19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613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B2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673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6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F3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6F3F"/>
    <w:rPr>
      <w:vertAlign w:val="superscript"/>
    </w:rPr>
  </w:style>
  <w:style w:type="character" w:customStyle="1" w:styleId="normaltextrun">
    <w:name w:val="normaltextrun"/>
    <w:basedOn w:val="DefaultParagraphFont"/>
    <w:rsid w:val="00123D61"/>
  </w:style>
  <w:style w:type="character" w:customStyle="1" w:styleId="eop">
    <w:name w:val="eop"/>
    <w:basedOn w:val="DefaultParagraphFont"/>
    <w:uiPriority w:val="1"/>
    <w:rsid w:val="6AA63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N xmlns="51250124-fd78-4957-b695-e5768b5687eb" xsi:nil="true"/>
    <Date xmlns="51250124-fd78-4957-b695-e5768b5687eb" xsi:nil="true"/>
    <lcf76f155ced4ddcb4097134ff3c332f xmlns="51250124-fd78-4957-b695-e5768b5687eb">
      <Terms xmlns="http://schemas.microsoft.com/office/infopath/2007/PartnerControls"/>
    </lcf76f155ced4ddcb4097134ff3c332f>
    <TaxCatchAll xmlns="31a3d9c1-5e23-425f-8f3b-2a092b427520" xsi:nil="true"/>
    <AssetType xmlns="51250124-fd78-4957-b695-e5768b5687eb" xsi:nil="true"/>
    <ProjectManager xmlns="51250124-fd78-4957-b695-e5768b5687eb">
      <UserInfo>
        <DisplayName/>
        <AccountId xsi:nil="true"/>
        <AccountType/>
      </UserInfo>
    </ProjectManag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BDC27EB0BDB47871EBDDB01DF92FD" ma:contentTypeVersion="19" ma:contentTypeDescription="Create a new document." ma:contentTypeScope="" ma:versionID="3629cc15c8f5690c7c47e520a96a5fb4">
  <xsd:schema xmlns:xsd="http://www.w3.org/2001/XMLSchema" xmlns:xs="http://www.w3.org/2001/XMLSchema" xmlns:p="http://schemas.microsoft.com/office/2006/metadata/properties" xmlns:ns2="51250124-fd78-4957-b695-e5768b5687eb" xmlns:ns3="31a3d9c1-5e23-425f-8f3b-2a092b427520" targetNamespace="http://schemas.microsoft.com/office/2006/metadata/properties" ma:root="true" ma:fieldsID="a945fddacec7f999900501d451c16d5f" ns2:_="" ns3:_="">
    <xsd:import namespace="51250124-fd78-4957-b695-e5768b5687eb"/>
    <xsd:import namespace="31a3d9c1-5e23-425f-8f3b-2a092b427520"/>
    <xsd:element name="properties">
      <xsd:complexType>
        <xsd:sequence>
          <xsd:element name="documentManagement">
            <xsd:complexType>
              <xsd:all>
                <xsd:element ref="ns2:UPRN" minOccurs="0"/>
                <xsd:element ref="ns2:Asset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MediaLengthInSeconds" minOccurs="0"/>
                <xsd:element ref="ns2:ProjectManag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50124-fd78-4957-b695-e5768b5687eb" elementFormDefault="qualified">
    <xsd:import namespace="http://schemas.microsoft.com/office/2006/documentManagement/types"/>
    <xsd:import namespace="http://schemas.microsoft.com/office/infopath/2007/PartnerControls"/>
    <xsd:element name="UPRN" ma:index="8" nillable="true" ma:displayName="UPRN / BPRN" ma:description="UPRN" ma:format="Dropdown" ma:internalName="UPRN">
      <xsd:simpleType>
        <xsd:restriction base="dms:Text">
          <xsd:maxLength value="255"/>
        </xsd:restriction>
      </xsd:simpleType>
    </xsd:element>
    <xsd:element name="AssetType" ma:index="9" nillable="true" ma:displayName="Asset Type" ma:format="Dropdown" ma:internalName="AssetType">
      <xsd:simpleType>
        <xsd:restriction base="dms:Choice">
          <xsd:enumeration value="Commercial Buildings"/>
          <xsd:enumeration value="Corporate Buildings"/>
          <xsd:enumeration value="Cemeteries"/>
          <xsd:enumeration value="Community Groups"/>
          <xsd:enumeration value="Facilities"/>
          <xsd:enumeration value="Land"/>
          <xsd:enumeration value="Monuments &amp; Memorials"/>
          <xsd:enumeration value="Sport Leisure Recreation"/>
          <xsd:enumeration value="Waterway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4ae1b-e163-46e9-a8ef-d6e330c9a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Start_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ProjectManager" ma:index="25" nillable="true" ma:displayName="Project Manager" ma:format="Dropdown" ma:list="UserInfo" ma:SharePointGroup="0" ma:internalName="Projec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3d9c1-5e23-425f-8f3b-2a092b427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afc76b0-81e4-4a22-affe-8854c978f4e1}" ma:internalName="TaxCatchAll" ma:showField="CatchAllData" ma:web="31a3d9c1-5e23-425f-8f3b-2a092b427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20817-E575-495C-B94A-DA162489CADB}">
  <ds:schemaRefs>
    <ds:schemaRef ds:uri="http://schemas.microsoft.com/office/2006/metadata/properties"/>
    <ds:schemaRef ds:uri="http://schemas.microsoft.com/office/infopath/2007/PartnerControls"/>
    <ds:schemaRef ds:uri="51250124-fd78-4957-b695-e5768b5687eb"/>
    <ds:schemaRef ds:uri="31a3d9c1-5e23-425f-8f3b-2a092b427520"/>
  </ds:schemaRefs>
</ds:datastoreItem>
</file>

<file path=customXml/itemProps2.xml><?xml version="1.0" encoding="utf-8"?>
<ds:datastoreItem xmlns:ds="http://schemas.openxmlformats.org/officeDocument/2006/customXml" ds:itemID="{28B1A140-B8A8-4691-9F9A-70DE66D39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109B4-7EBE-4DF8-8FA2-2CB5FD564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50124-fd78-4957-b695-e5768b5687eb"/>
    <ds:schemaRef ds:uri="31a3d9c1-5e23-425f-8f3b-2a092b427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DAEBD8-DC46-4181-A36D-E02779A7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1910</Characters>
  <Application>Microsoft Office Word</Application>
  <DocSecurity>0</DocSecurity>
  <Lines>15</Lines>
  <Paragraphs>4</Paragraphs>
  <ScaleCrop>false</ScaleCrop>
  <Company>Oxford City Council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Sarah.Claridge</dc:creator>
  <cp:lastModifiedBy>LUND Emma</cp:lastModifiedBy>
  <cp:revision>4</cp:revision>
  <cp:lastPrinted>2015-07-27T09:35:00Z</cp:lastPrinted>
  <dcterms:created xsi:type="dcterms:W3CDTF">2024-09-17T14:18:00Z</dcterms:created>
  <dcterms:modified xsi:type="dcterms:W3CDTF">2024-09-17T14:34:00Z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0x010100499BDC27EB0BDB47871EBDDB01DF92FD</vt:lpwstr>
  </property>
  <property fmtid="{D5CDD505-2E9C-101B-9397-08002B2CF9AE}" pid="3" name="MediaServiceImageTags">
    <vt:lpwstr/>
  </property>
</Properties>
</file>